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section 201, subsection 4, paragraph A. The allegation is sufficient if it alleges that the accused was present in the demanding state at the time of the commission of the alleged crime and that the accused thereafter left the demanding state; or that the accused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[RR 2023, c. 2, Pt. D, §10 (COR).]</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§10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sections 210 and 210‑A, unless it is shown by the petitioner that any such defect is substantially prejudicial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§11 (COR).]</w:t>
      </w:r>
    </w:p>
    <w:p>
      <w:pPr>
        <w:jc w:val="both"/>
        <w:spacing w:before="100" w:after="0"/>
        <w:ind w:start="360"/>
        <w:ind w:firstLine="360"/>
      </w:pPr>
      <w:r>
        <w:rPr>
          <w:b/>
        </w:rPr>
        <w:t>5</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the Governor may not surrender a person charged in another state as a result of the person's engaging in legally protected health care activity or aiding and assisting legally protected health care activity unless the executive authority of the demanding state alleges in writing that the accused was physically present in the demanding state at the time of the commission of the alleged offense and that thereafter the accused fled from the demanding state.  For purposes of this subsection, "aiding and assisting legally protected health care activity" and "legally protected health care activity" have the same meanings as in </w:t>
      </w:r>
      <w:r>
        <w:t>Title 14, section 9002, subsections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PL 2023, c. 648, Pt. C, §1 (AMD). RR 2023, c. 2, Pt. D, §§10,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Form of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Form of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 FORM OF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