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Fees claimed within 3 years</w:t>
      </w:r>
    </w:p>
    <w:p>
      <w:pPr>
        <w:jc w:val="both"/>
        <w:spacing w:before="100" w:after="100"/>
        <w:ind w:start="360"/>
        <w:ind w:firstLine="360"/>
      </w:pPr>
      <w:r>
        <w:rPr/>
      </w:r>
      <w:r>
        <w:rPr/>
      </w:r>
      <w:r>
        <w:t xml:space="preserve">Sums allowed to any person as fees or for expenses in any criminal prosecution and payable from the State Treasury may be claimed by such person of the Treasurer of State at any time within 3 years after the allowance, and not afterwards.</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§19 (AMD). PL 1975, c. 408,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§2031. Fees claimed within 3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Fees claimed within 3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§2031. FEES CLAIMED WITHIN 3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