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w:t>
        <w:t xml:space="preserve">.  </w:t>
      </w:r>
      <w:r>
        <w:rPr>
          <w:b/>
        </w:rPr>
        <w:t xml:space="preserve">Relief</w:t>
      </w:r>
    </w:p>
    <w:p>
      <w:pPr>
        <w:jc w:val="both"/>
        <w:spacing w:before="100" w:after="100"/>
        <w:ind w:start="360"/>
        <w:ind w:firstLine="360"/>
      </w:pPr>
      <w:r>
        <w:rPr/>
      </w:r>
      <w:r>
        <w:rPr/>
      </w:r>
      <w:r>
        <w:t xml:space="preserve">If the court determines that relief should be granted, it shall order appropriate relief, including: Release from incarceration or other restraint; reversal of the criminal judgment, including one entered upon a plea of guilty or nolo contendere; entry of judgment for a lesser included offense; reversal of another order or decision, with or without affording the State or other party a new hearing; granting the right to take an appeal from the criminal judgment; correction of errors appearing as a matter of record; resentencing or a new sentence; and entry of an order altering the amount of time that a person incarcerated under a sentence has served or must serve. The judgment making final disposition is a final judgment for purposes of review by the Law Court. When relief is granted to the petitioner and release is appropriate, the justice may release a petitioner on bail pending appeal.</w:t>
      </w:r>
      <w:r>
        <w:t xml:space="preserve">  </w:t>
      </w:r>
      <w:r xmlns:wp="http://schemas.openxmlformats.org/drawingml/2010/wordprocessingDrawing" xmlns:w15="http://schemas.microsoft.com/office/word/2012/wordml">
        <w:rPr>
          <w:rFonts w:ascii="Arial" w:hAnsi="Arial" w:cs="Arial"/>
          <w:sz w:val="22"/>
          <w:szCs w:val="22"/>
        </w:rPr>
        <w:t xml:space="preserve">[RR 2009,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§6 (AMD). RR 2009, c. 2,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§2130.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§2130.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