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Commutation to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§2162. COMMUTATION TO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