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Remand to prison on finding of violation</w:t>
      </w:r>
    </w:p>
    <w:p>
      <w:pPr>
        <w:jc w:val="both"/>
        <w:spacing w:before="100" w:after="100"/>
        <w:ind w:start="360"/>
        <w:ind w:firstLine="360"/>
      </w:pPr>
      <w:r>
        <w:rPr/>
      </w:r>
      <w:r>
        <w:rPr/>
      </w:r>
      <w:r>
        <w:t xml:space="preserve">The Governor shall, upon receiving the notice provided for in section 2164, examine the case of the convict and, if it appears by the convict's own admission or by evidence that the convict has violated the conditions of the convict's pardon, the Governor shall order the convict to be remanded and confined for the unexpired term of the sentence. In computing the period of the convict's confinement, the time between the pardon and the subsequent arrest may not be reckoned as part of the term of the convict's sentence. If it appears to the Governor that the convict has not broken the conditions of the convict's pardon, the convict must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§163 (AMD). RR 2023, c. 2, Pt. D,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§2165. Remand to prison on finding of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Remand to prison on finding of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§2165. REMAND TO PRISON ON FINDING OF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