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Guilt or innocence not inquired into after extradition demanded</w:t>
      </w:r>
    </w:p>
    <w:p>
      <w:pPr>
        <w:jc w:val="both"/>
        <w:spacing w:before="100" w:after="100"/>
        <w:ind w:start="360"/>
        <w:ind w:firstLine="360"/>
      </w:pPr>
      <w:r>
        <w:rPr/>
      </w:r>
      <w:r>
        <w:rPr/>
      </w:r>
      <w:r>
        <w:t xml:space="preserve">The guilt or innocence of the accused as to the crime of which the accused is charged may not be inquired into by the Governor or in any proceeding after the demand for extradition accompanied by a charge of crime in legal form as provided has been presented to the Governor, except as it may be involved in identifying the person held as the person charged with the crime, and except insofar as it may be inquired into for the purpose of establishing probable cause as required by sections 203 and 210‑A.</w:t>
      </w:r>
      <w:r>
        <w:t xml:space="preserve">  </w:t>
      </w:r>
      <w:r xmlns:wp="http://schemas.openxmlformats.org/drawingml/2010/wordprocessingDrawing" xmlns:w15="http://schemas.microsoft.com/office/word/2012/wordml">
        <w:rPr>
          <w:rFonts w:ascii="Arial" w:hAnsi="Arial" w:cs="Arial"/>
          <w:sz w:val="22"/>
          <w:szCs w:val="22"/>
        </w:rPr>
        <w:t xml:space="preserve">[RR 2023, c. 2, Pt. D,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§17 (AMD). RR 2023, c. 2, Pt. D,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Guilt or innocence not inquired into after extradition demanded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Guilt or innocence not inquired into after extradition demanded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§220. GUILT OR INNOCENCE NOT INQUIRED INTO AFTER EXTRADITION DEMANDED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