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is not liable for payment of such expenses unless the prosecuting attorney has previously consented to that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§32 (COR).]</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the prosecuting attorney or officers designated by the prosecuting attorney a reasonable sum to defray necessary expenses. A full accounting of all expenses and return of unused funds must be made to the issuing official no later than 3 business days from the date of return. All funds returned must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§33 (COR).]</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RR 2023, c. 2, Pt. D,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§224. EXPENSES PAID ON RENDITION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