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Trial for crimes other than specified</w:t>
      </w:r>
    </w:p>
    <w:p>
      <w:pPr>
        <w:jc w:val="both"/>
        <w:spacing w:before="100" w:after="100"/>
        <w:ind w:start="360"/>
        <w:ind w:firstLine="360"/>
      </w:pPr>
      <w:r>
        <w:rPr/>
      </w:r>
      <w:r>
        <w:rPr/>
      </w:r>
      <w:r>
        <w:t xml:space="preserve">After a person has been brought back to this State upon extradition proceedings, the person may be tried in this State for other crimes that the person may be charged with having committed in this State as well as that specified in the requisition for the person's extradition.</w:t>
      </w:r>
      <w:r>
        <w:t xml:space="preserve">  </w:t>
      </w:r>
      <w:r xmlns:wp="http://schemas.openxmlformats.org/drawingml/2010/wordprocessingDrawing" xmlns:w15="http://schemas.microsoft.com/office/word/2012/wordml">
        <w:rPr>
          <w:rFonts w:ascii="Arial" w:hAnsi="Arial" w:cs="Arial"/>
          <w:sz w:val="22"/>
          <w:szCs w:val="22"/>
        </w:rPr>
        <w:t xml:space="preserve">[RR 2023, c. 2, Pt. D,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§228. Trial for crimes other than specified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Trial for crimes other than specified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§228. TRIAL FOR CRIMES OTHER THAN SPECIFIED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