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Appeals</w:t>
      </w:r>
    </w:p>
    <w:p>
      <w:pPr>
        <w:jc w:val="both"/>
        <w:spacing w:before="100" w:after="100"/>
        <w:ind w:start="360"/>
        <w:ind w:firstLine="360"/>
      </w:pPr>
      <w:r>
        <w:rPr/>
      </w:r>
      <w:r>
        <w:rPr/>
      </w:r>
      <w:r>
        <w:t xml:space="preserve">A person aggrieved by the order of a judge requiring the person to recognize as provided in section 284 may, on giving the security required, appeal to the next term of the Superior Court in the county. The judge shall thereupon require such witnesses as the judge thinks proper to recognize to appear at the appellate court. The court may affirm or reverse the order of the judge, require the accused to recognize anew with sufficient sureties and make an order as to costs as the court determines reasonable.</w:t>
      </w:r>
      <w:r>
        <w:t xml:space="preserve">  </w:t>
      </w:r>
      <w:r xmlns:wp="http://schemas.openxmlformats.org/drawingml/2010/wordprocessingDrawing" xmlns:w15="http://schemas.microsoft.com/office/word/2012/wordml">
        <w:rPr>
          <w:rFonts w:ascii="Arial" w:hAnsi="Arial" w:cs="Arial"/>
          <w:sz w:val="22"/>
          <w:szCs w:val="22"/>
        </w:rPr>
        <w:t xml:space="preserve">[RR 2023, c. 2, Pt. D,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