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w:pPr>
        <w:jc w:val="both"/>
        <w:spacing w:before="100" w:after="0"/>
        <w:ind w:start="720"/>
      </w:pPr>
      <w:r>
        <w:rPr/>
        <w:t>F</w:t>
        <w:t xml:space="preserve">.  </w:t>
      </w:r>
      <w:r>
        <w:rPr/>
      </w:r>
      <w:r>
        <w:t xml:space="preserve">The jurisdiction of the Juvenile Court is concurrent with that of a federal court sitting in the State over proceedings involving an alleged violation of federal law committed by a juvenile on a military installation of the United States Department of Defense if:</w:t>
      </w:r>
    </w:p>
    <w:p>
      <w:pPr>
        <w:jc w:val="both"/>
        <w:spacing w:before="100" w:after="0"/>
        <w:ind w:start="1080"/>
      </w:pPr>
      <w:r>
        <w:rPr/>
        <w:t>(</w:t>
        <w:t>1</w:t>
        <w:t xml:space="preserve">)  </w:t>
      </w:r>
      <w:r>
        <w:rPr/>
      </w:r>
      <w:r>
        <w:t xml:space="preserve">The United States Attorney for the District of Maine or the federal court waives exclusive jurisdiction; and</w:t>
      </w:r>
    </w:p>
    <w:p>
      <w:pPr>
        <w:jc w:val="both"/>
        <w:spacing w:before="100" w:after="0"/>
        <w:ind w:start="1080"/>
      </w:pPr>
      <w:r>
        <w:rPr/>
        <w:t>(</w:t>
        <w:t>2</w:t>
        <w:t xml:space="preserve">)  </w:t>
      </w:r>
      <w:r>
        <w:rPr/>
      </w:r>
      <w:r>
        <w:t xml:space="preserve">The violation of federal law is also a juvenile crime as defined in </w:t>
      </w:r>
      <w:r>
        <w:t>section 3103,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§2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PL 2023, c. 605,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