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B-1</w:t>
        <w:t xml:space="preserve">.  </w:t>
      </w:r>
      <w:r>
        <w:rPr/>
      </w:r>
      <w:r>
        <w:t xml:space="preserve">"Intentionally" has the same meaning as in </w:t>
      </w:r>
      <w:r>
        <w:t>Title 17‑A, section 35,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§2 (NEW).]</w:t>
      </w:r>
    </w:p>
    <w:p>
      <w:pPr>
        <w:jc w:val="both"/>
        <w:spacing w:before="100" w:after="0"/>
        <w:ind w:start="720"/>
      </w:pPr>
      <w:r>
        <w:rPr/>
        <w:t>B-2</w:t>
        <w:t xml:space="preserve">.  </w:t>
      </w:r>
      <w:r>
        <w:rPr/>
      </w:r>
      <w:r>
        <w:t xml:space="preserve">"Knowingly" has the same meaning as in </w:t>
      </w:r>
      <w:r>
        <w:t>Title 17‑A, section 35,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§3 (NEW).]</w:t>
      </w:r>
    </w:p>
    <w:p>
      <w:pPr>
        <w:jc w:val="both"/>
        <w:spacing w:before="100" w:after="0"/>
        <w:ind w:start="720"/>
      </w:pPr>
      <w:r>
        <w:rPr/>
        <w:t>B-3</w:t>
        <w:t xml:space="preserve">.  </w:t>
      </w:r>
      <w:r>
        <w:rPr/>
      </w:r>
      <w:r>
        <w:t xml:space="preserve">"Recklessly" has the same meaning as in </w:t>
      </w:r>
      <w:r>
        <w:t>Title 17‑A, section 35,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§4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§§2-4 (AMD).]</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intentionally, knowingly or recklessly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PL 2023, c. 675,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§394. Prohibited sale or transfer of firearms to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Prohibited sale or transfer of firearms to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§394. PROHIBITED SALE OR TRANSFER OF FIREARMS TO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