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5821-A</w:t>
        <w:t xml:space="preserve">.  </w:t>
      </w:r>
      <w:r>
        <w:rPr>
          <w:b/>
        </w:rPr>
        <w:t xml:space="preserve">Property not subject to forfeiture based on medical use of cannabis</w:t>
      </w:r>
    </w:p>
    <w:p>
      <w:pPr>
        <w:jc w:val="both"/>
        <w:spacing w:before="100" w:after="100"/>
        <w:ind w:start="360"/>
        <w:ind w:firstLine="360"/>
      </w:pPr>
      <w:r>
        <w:rPr/>
      </w:r>
      <w:r>
        <w:rPr/>
      </w:r>
      <w:r>
        <w:t xml:space="preserve">Property is not subject to forfeiture under this chapter if the activity that subjects the person's property to forfeiture is medical use of cannabis and the person meets the requirements for medical use of cannabis under </w:t>
      </w:r>
      <w:r>
        <w:t>Title 22, chapter 558‑C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2009, c. 1, §1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1999, c. 1, §3 (NEW). IB 2009, c. 1, §1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§5821-A. Property not subject to forfeiture based on medical use of cannabis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§5821-A. Property not subject to forfeiture based on medical use of cannabis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§5821-A. PROPERTY NOT SUBJECT TO FORFEITURE BASED ON MEDICAL USE OF CANNABIS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