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Responsibilities of law enforcement agencies</w:t>
      </w:r>
    </w:p>
    <w:p>
      <w:pPr>
        <w:jc w:val="both"/>
        <w:spacing w:before="100" w:after="100"/>
        <w:ind w:start="360"/>
        <w:ind w:firstLine="360"/>
      </w:pPr>
      <w:r>
        <w:rPr/>
      </w:r>
      <w:r>
        <w:rPr/>
      </w:r>
      <w:r>
        <w:t xml:space="preserve">Each law enforcement agency shall adopt policies to comply with this chapter.  Local policies must ensure that all bench warrants are served and returns of service entered as required by </w:t>
      </w:r>
      <w:r>
        <w:t>section 654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§656. Responsibilities of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Responsibilities of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§656. RESPONSIBILITIES OF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