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650-A</w:t>
        <w:t xml:space="preserve">.  </w:t>
      </w:r>
      <w:r>
        <w:rPr>
          <w:b/>
        </w:rPr>
        <w:t xml:space="preserve">Conditions of use of location information</w:t>
      </w:r>
    </w:p>
    <w:p>
      <w:pPr>
        <w:jc w:val="both"/>
        <w:spacing w:before="100" w:after="100"/>
        <w:ind w:start="360"/>
      </w:pPr>
      <w:r>
        <w:rPr>
          <w:b/>
        </w:rPr>
        <w:t>(REALLOCATED FROM TITLE 16, SECTION 645)</w:t>
      </w:r>
    </w:p>
    <w:p>
      <w:pPr>
        <w:jc w:val="both"/>
        <w:spacing w:before="100" w:after="0"/>
        <w:ind w:start="360"/>
        <w:ind w:firstLine="360"/>
      </w:pPr>
      <w:r>
        <w:rPr>
          <w:b/>
        </w:rPr>
        <w:t>1</w:t>
        <w:t xml:space="preserve">.  </w:t>
      </w:r>
      <w:r>
        <w:rPr>
          <w:b/>
        </w:rPr>
        <w:t xml:space="preserve">Conditions of use of location information in proceeding.</w:t>
        <w:t xml:space="preserve"> </w:t>
      </w:r>
      <w:r>
        <w:t xml:space="preserve"> </w:t>
      </w:r>
      <w:r>
        <w:t xml:space="preserve">Location information obtained pursuant to this subchapter or evidence derived from that information may be received in evidence or otherwise disclosed in a trial, hearing or other proceeding only if each party, not less than 10 days before the trial, hearing or proceeding, has been furnished with a copy of the statement of emergency filed under </w:t>
      </w:r>
      <w:r>
        <w:t>section 650, subsection 4</w:t>
      </w:r>
      <w:r>
        <w:t xml:space="preserve"> or the warrant and accompanying application under which the information was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§17 (AMD).]</w:t>
      </w:r>
    </w:p>
    <w:p>
      <w:pPr>
        <w:jc w:val="both"/>
        <w:spacing w:before="100" w:after="0"/>
        <w:ind w:start="360"/>
        <w:ind w:firstLine="360"/>
      </w:pPr>
      <w:r>
        <w:rPr>
          <w:b/>
        </w:rPr>
        <w:t>2</w:t>
        <w:t xml:space="preserve">.  </w:t>
      </w:r>
      <w:r>
        <w:rPr>
          <w:b/>
        </w:rPr>
        <w:t xml:space="preserve">Ten-day requirement; exception.</w:t>
        <w:t xml:space="preserve"> </w:t>
      </w:r>
      <w:r>
        <w:t xml:space="preserve"> </w:t>
      </w:r>
      <w:r>
        <w:t xml:space="preserve">The 10-day requirement under </w:t>
      </w:r>
      <w:r>
        <w:t>subsection 1</w:t>
      </w:r>
      <w:r>
        <w:t xml:space="preserve"> may be waived if a judge makes a finding that it was not possible to provide a party with the warrant and accompanying application 10 days prior to a trial, hearing or proceeding and that the party will not be prejudiced by the delay in receiving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2019, c. 489,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§650-A. Conditions of use of location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§650-A. Conditions of use of location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§650-A. CONDITIONS OF USE OF LOCATION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