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GENERAL SENTENCING PROVISIONS</w:t>
      </w:r>
    </w:p>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GENERAL SENTENCING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GENERAL SENTENCING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47. GENERAL SENTENCING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