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54-F</w:t>
      </w:r>
    </w:p>
    <w:p>
      <w:pPr>
        <w:jc w:val="center"/>
        <w:ind w:start="360"/>
        <w:spacing w:before="300" w:after="300"/>
      </w:pPr>
      <w:r>
        <w:rPr>
          <w:b/>
        </w:rPr>
        <w:t xml:space="preserve">DEFERRED DISPOSITION</w:t>
      </w:r>
    </w:p>
    <w:p>
      <w:pPr>
        <w:jc w:val="both"/>
        <w:spacing w:before="100" w:after="100"/>
        <w:ind w:start="1080" w:hanging="720"/>
      </w:pPr>
      <w:r>
        <w:rPr>
          <w:b/>
        </w:rPr>
        <w:t>§</w:t>
        <w:t>1348</w:t>
        <w:t xml:space="preserve">.  </w:t>
      </w:r>
      <w:r>
        <w:rPr>
          <w:b/>
        </w:rPr>
        <w:t xml:space="preserve">Eligibility for 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527, §21 (AMD). PL 2019, c. 113, Pt. A, §1 (RP). </w:t>
      </w:r>
    </w:p>
    <w:p>
      <w:pPr>
        <w:jc w:val="both"/>
        <w:spacing w:before="100" w:after="100"/>
        <w:ind w:start="1080" w:hanging="720"/>
      </w:pPr>
      <w:r>
        <w:rPr>
          <w:b/>
        </w:rPr>
        <w:t>§</w:t>
        <w:t>1348-A</w:t>
        <w:t xml:space="preserve">.  </w:t>
      </w:r>
      <w:r>
        <w:rPr>
          <w:b/>
        </w:rPr>
        <w:t xml:space="preserve">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§11 (AMD). PL 2005, c. 288, §1 (AMD). PL 2009, c. 336, §15 (AMD). PL 2013, c. 519, §8 (AMD). PL 2015, c. 496, §10 (AMD). PL 2019, c. 113, Pt. A, §1 (RP). </w:t>
      </w:r>
    </w:p>
    <w:p>
      <w:pPr>
        <w:jc w:val="both"/>
        <w:spacing w:before="100" w:after="100"/>
        <w:ind w:start="1080" w:hanging="720"/>
      </w:pPr>
      <w:r>
        <w:rPr>
          <w:b/>
        </w:rPr>
        <w:t>§</w:t>
        <w:t>1348-B</w:t>
        <w:t xml:space="preserve">.  </w:t>
      </w:r>
      <w:r>
        <w:rPr>
          <w:b/>
        </w:rPr>
        <w:t xml:space="preserve">Court hearing as to final disposition</w:t>
      </w:r>
    </w:p>
    <w:p>
      <w:pPr>
        <w:jc w:val="both"/>
        <w:spacing w:before="100" w:after="100"/>
        <w:ind w:start="360"/>
      </w:pPr>
      <w:r>
        <w:rPr>
          <w:b/>
        </w:rPr>
        <w:t>(PLACEHOLDER)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§§12-14 (AMD). PL 2005, c. 288, §2 (AMD). PL 2005, c. 683, §A20 (AMD). PL 2009, c. 336, §16 (AMD). PL 2015, c. 431, §43 (AMD). PL 2019, c. 113, Pt. A, §1 (RP). </w:t>
      </w:r>
    </w:p>
    <w:p>
      <w:pPr>
        <w:jc w:val="both"/>
        <w:spacing w:before="100" w:after="100"/>
        <w:ind w:start="1080" w:hanging="720"/>
      </w:pPr>
      <w:r>
        <w:rPr>
          <w:b/>
        </w:rPr>
        <w:t>§</w:t>
        <w:t>1348-C</w:t>
        <w:t xml:space="preserve">.  </w:t>
      </w:r>
      <w:r>
        <w:rPr>
          <w:b/>
        </w:rPr>
        <w:t xml:space="preserve">Limited review by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54-F.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54-F.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54-F.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