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General rules for defenses and affirmative defenses; justification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General rules for defenses and affirmative defenses; justification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§101. GENERAL RULES FOR DEFENSES AND AFFIRMATIVE DEFENSES; JUSTIFICATION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