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§1058. UNAUTHORIZED POSSESSION OF FIREARM IN COURTHOUSE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