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§1106-A. Aggregation of amounts of drugs 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Aggregation of amounts of drugs 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§1106-A. AGGREGATION OF AMOUNTS OF DRUGS 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