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Other offenses</w:t>
      </w:r>
    </w:p>
    <w:p>
      <w:pPr>
        <w:jc w:val="both"/>
        <w:spacing w:before="100" w:after="0"/>
        <w:ind w:start="360"/>
        <w:ind w:firstLine="360"/>
      </w:pPr>
      <w:r>
        <w:rPr>
          <w:b/>
        </w:rPr>
        <w:t>1</w:t>
        <w:t xml:space="preserve">.  </w:t>
      </w:r>
      <w:r>
        <w:rPr>
          <w:b/>
        </w:rPr>
      </w:r>
      <w:r>
        <w:t xml:space="preserve"> </w:t>
      </w:r>
      <w:r>
        <w:t xml:space="preserve">The existence of a crime other than the one charged, but based on the same conduct or arising from the same criminal episode, for which a person may be prosecuted, whether that crime is a lesser or greater crime as to elements or sentencing classification, shall not preclude prosecution for the offense charged unless a contrary legislative intent plainly appears.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§20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§20 (RPR). PL 1979, c. 512,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