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Establishment</w:t>
      </w:r>
    </w:p>
    <w:p>
      <w:pPr>
        <w:jc w:val="both"/>
        <w:spacing w:before="100" w:after="100"/>
        <w:ind w:start="360"/>
        <w:ind w:firstLine="360"/>
      </w:pPr>
      <w:r>
        <w:rPr/>
      </w:r>
      <w:r>
        <w:rPr/>
      </w:r>
      <w:r>
        <w:t xml:space="preserve">The Criminal Law Advisory Commission, established by </w:t>
      </w:r>
      <w:r>
        <w:t>Title 5, section 12004‑I, subsection 52</w:t>
      </w:r>
      <w:r>
        <w:t xml:space="preserve">, is created for the purpose of conducting a continuing study of the criminal law of Maine.</w:t>
      </w:r>
      <w:r>
        <w:t xml:space="preserve">  </w:t>
      </w:r>
      <w:r xmlns:wp="http://schemas.openxmlformats.org/drawingml/2010/wordprocessingDrawing" xmlns:w15="http://schemas.microsoft.com/office/word/2012/wordml">
        <w:rPr>
          <w:rFonts w:ascii="Arial" w:hAnsi="Arial" w:cs="Arial"/>
          <w:sz w:val="22"/>
          <w:szCs w:val="22"/>
        </w:rPr>
        <w:t xml:space="preserve">[PL 1989, c. 503, Pt. B,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§99 (RPR). PL 1989, c. 503, §B71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