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Administrative supervision fee as nonmandatory requirement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§1755. ADMINISTRATIVE SUPERVISION FEE AS NONMANDATORY REQUIREMENT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