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1758</w:t>
        <w:t xml:space="preserve">.  </w:t>
      </w:r>
      <w:r>
        <w:rPr>
          <w:b/>
        </w:rPr>
        <w:t xml:space="preserve">Authority to impose fees, surcharges and assessments by Supreme Judicial Court</w:t>
      </w:r>
    </w:p>
    <w:p>
      <w:pPr>
        <w:jc w:val="both"/>
        <w:spacing w:before="100" w:after="100"/>
        <w:ind w:start="360"/>
        <w:ind w:firstLine="360"/>
      </w:pPr>
      <w:r>
        <w:rPr/>
      </w:r>
      <w:r>
        <w:rPr/>
      </w:r>
      <w:r>
        <w:t xml:space="preserve">Nothing in this chapter limits the authority of the Supreme Judicial Court to impose fees, surcharges or assessments by administrative order or rule.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§1758. Authority to impose fees, surcharges and assessments by Supreme Judicial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§1758. Authority to impose fees, surcharges and assessments by Supreme Judicial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§1758. AUTHORITY TO IMPOSE FEES, SURCHARGES AND ASSESSMENTS BY SUPREME JUDICIAL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