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§2019. Civil remedy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Civil remedy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§2019. CIVIL REMEDY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