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Aggravated reckless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Aggravated reckless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§213. AGGRAVATED RECKLESS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