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Criminal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Criminal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§302. CRIMINAL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