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Unauthorized use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Unauthorized use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§360. UNAUTHORIZED USE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