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§437. PERMISSIBLE DESTRUCTION OR TRANSFER OF OWNERSHIP TO THE STATE OF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