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Scope of chapter</w:t>
      </w:r>
    </w:p>
    <w:p>
      <w:pPr>
        <w:jc w:val="both"/>
        <w:spacing w:before="100" w:after="100"/>
        <w:ind w:start="360"/>
        <w:ind w:firstLine="360"/>
      </w:pPr>
      <w:r>
        <w:rPr/>
      </w:r>
      <w:r>
        <w:rPr/>
      </w:r>
      <w:r>
        <w:t xml:space="preserve">Nothing in this chapter shall be construed to prohibit the giving or receiving of campaign contributions made for the purpose of defraying the costs of a political campaign. No person shall be convicted of an offense solely on the evidence that a campaign contribution was made, and that an appointment or nomination was subsequently made by the person to whose campaign or political party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