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Application for search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Application for search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§1034. APPLICATION FOR SEARCH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