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Corporate acts after forfeiture of charter</w:t>
      </w:r>
    </w:p>
    <w:p>
      <w:pPr>
        <w:jc w:val="both"/>
        <w:spacing w:before="100" w:after="100"/>
        <w:ind w:start="360"/>
        <w:ind w:firstLine="360"/>
      </w:pPr>
      <w:r>
        <w:rPr/>
      </w:r>
      <w:r>
        <w:rPr/>
      </w:r>
      <w:r>
        <w:t xml:space="preserve">Whoever undertakes to do business or does business of any kind in behalf of any corporation, the charter of which has been forfeited or suspended, or holds out such corporation as doing business, or sells, transfers or puts upon the market any stocks or other evidence of indebtedness whatsoever of any such corporation, while the charter of said corporation remains forfeited or suspended, shall be punished by a fine of $300.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§1618. Corporate acts after forfeiture of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Corporate acts after forfeiture of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§1618. CORPORATE ACTS AFTER FORFEITURE OF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