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Tournament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§1836. TOURNAMENT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