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2499</w:t>
        <w:t xml:space="preserve">.  </w:t>
      </w:r>
      <w:r>
        <w:rPr>
          <w:b/>
        </w:rPr>
        <w:t xml:space="preserve">Injuring or cutting loose booms, rafts, vessels or boats; civil action for damages</w:t>
      </w:r>
    </w:p>
    <w:p>
      <w:pPr>
        <w:jc w:val="both"/>
        <w:spacing w:before="100" w:after="100"/>
        <w:ind w:start="360"/>
        <w:ind w:firstLine="360"/>
      </w:pPr>
      <w:r>
        <w:rPr/>
      </w:r>
      <w:r>
        <w:rPr/>
      </w:r>
      <w:r>
        <w:t xml:space="preserve">Whoever willfully or maliciously, without consent of the owner, cuts away, lets loose, injures or destroys any boom, raft or logs or other lumber, or any vessel, gondola, scow or other boat fastened to any place, of which he is not the owner or legal possessor, shall be punished by a fine of not more than $500 and by imprisonment for less than one year; and shall be liable to the person injured in a civil action for double the damages by him sustained.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§2499. Injuring or cutting loose booms, rafts, vessels or boats; civil action for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§2499. Injuring or cutting loose booms, rafts, vessels or boats; civil action for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§2499. INJURING OR CUTTING LOOSE BOOMS, RAFTS, VESSELS OR BOATS; CIVIL ACTION FOR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