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Action for damages caused by nuisance</w:t>
      </w:r>
    </w:p>
    <w:p>
      <w:pPr>
        <w:jc w:val="both"/>
        <w:spacing w:before="100" w:after="100"/>
        <w:ind w:start="360"/>
        <w:ind w:firstLine="360"/>
      </w:pPr>
      <w:r>
        <w:rPr/>
      </w:r>
      <w:r>
        <w:rPr/>
      </w:r>
      <w:r>
        <w:t xml:space="preserve">Any person injured in his comfort, property or the enjoyment of his estate by a common and public or a private nuisance may maintain against the offender a civil action for his damages, unless otherwise specially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§2701. Action for damages caused by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Action for damages caused by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§2701. ACTION FOR DAMAGES CAUSED BY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