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Stay on security to discontinue</w:t>
      </w:r>
    </w:p>
    <w:p>
      <w:pPr>
        <w:jc w:val="both"/>
        <w:spacing w:before="100" w:after="100"/>
        <w:ind w:start="360"/>
        <w:ind w:firstLine="360"/>
      </w:pPr>
      <w:r>
        <w:rPr/>
      </w:r>
      <w:r>
        <w:rPr/>
      </w:r>
      <w:r>
        <w:t xml:space="preserve">Instead of issuing the warrant required by </w:t>
      </w:r>
      <w:r>
        <w:t>section 2702</w:t>
      </w:r>
      <w:r>
        <w:t xml:space="preserve">, the court may order it to be stayed on motion of the defendant, and on his entering into recognizance in such sum and with such surety as the court directs, in case of an indictment, to the State, or in case of a complaint or action, to the plaintiff, conditioned that the defendant will either discontinue said nuisance, or that within a time limited by the court and not exceeding 6 months, he will cause it to be abated and removed, as may be directed by the court. On failing to perform such condition, the recognizance shall be deemed forfeited, and the court on being satisfied of such default, may forthwith issue the warrant and entertain an action to enforce the recognizance.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Stay on security to discontinue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Stay on security to discontinue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§2703. STAY ON SECURITY TO DISCONTINUE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