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Alteration of surface water flow</w:t>
      </w:r>
    </w:p>
    <w:p>
      <w:pPr>
        <w:jc w:val="both"/>
        <w:spacing w:before="100" w:after="100"/>
        <w:ind w:start="360"/>
        <w:ind w:firstLine="360"/>
      </w:pPr>
      <w:r>
        <w:rPr/>
      </w:r>
      <w:r>
        <w:rPr/>
      </w:r>
      <w:r>
        <w:t xml:space="preserve">Unreasonable use of land that results in altered flow of surface water that unreasonably injures another's land or that unreasonably interferes with the reasonable use of another's land is a nuisance.</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w:pPr>
        <w:jc w:val="both"/>
        <w:spacing w:before="100" w:after="100"/>
        <w:ind w:start="360"/>
        <w:ind w:firstLine="360"/>
      </w:pPr>
      <w:r>
        <w:rPr/>
      </w:r>
      <w:r>
        <w:rPr/>
      </w:r>
      <w:r>
        <w:t xml:space="preserve">An action under this section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564, §1 (NEW). PL 2005, c. 564,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§2808. Alteration of surface water flow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Alteration of surface water flow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§2808. ALTERATION OF SURFACE WATER FLOW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