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§2853. Recovery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Recovery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§2853. RECOVERY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