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Securing dangerous buildings</w:t>
      </w:r>
    </w:p>
    <w:p>
      <w:pPr>
        <w:jc w:val="both"/>
        <w:spacing w:before="100" w:after="100"/>
        <w:ind w:start="360"/>
        <w:ind w:firstLine="360"/>
      </w:pPr>
      <w:r>
        <w:rPr/>
      </w:r>
      <w:r>
        <w:rPr/>
      </w:r>
      <w:r>
        <w:t xml:space="preserve">In addition to other proceedings authorized by this subchapter, a municipality has the right to secure buildings that pose a serious threat to the public health and safety and to recover its expenses in so doing as provided in </w:t>
      </w:r>
      <w:r>
        <w:t>section 2853</w:t>
      </w:r>
      <w:r>
        <w:t xml:space="preserve">. If a building is secured under this section, notice in accordance with </w:t>
      </w:r>
      <w:r>
        <w:t>section 2857</w:t>
      </w:r>
      <w:r>
        <w:t xml:space="preserve"> must be given. This notice need not be given before securing the building if the threat to the public health and safety requires prompt action.</w:t>
      </w:r>
      <w:r>
        <w:t xml:space="preserve">  </w:t>
      </w:r>
      <w:r xmlns:wp="http://schemas.openxmlformats.org/drawingml/2010/wordprocessingDrawing" xmlns:w15="http://schemas.microsoft.com/office/word/2012/wordml">
        <w:rPr>
          <w:rFonts w:ascii="Arial" w:hAnsi="Arial" w:cs="Arial"/>
          <w:sz w:val="22"/>
          <w:szCs w:val="22"/>
        </w:rPr>
        <w:t xml:space="preserve">[PL 2017, c. 136,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§2856. Securing dangerous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Securing dangerous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§2856. SECURING DANGEROUS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