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Dissemination of obscene matter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Dissemination of obscene matter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§2911. DISSEMINATION OF OBSCENE MATTER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