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§3321-A. Store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§3321-A. Store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§3321-A. STORE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