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§3853-D. Operating a motor vehicle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§3853-D. Operating a motor vehicle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§3853-D. OPERATING A MOTOR VEHICLE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