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UNIFORM DIRECTED TRUST ACT</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2105</w:t>
        <w:t xml:space="preserve">.  </w:t>
      </w:r>
      <w:r>
        <w:rPr>
          <w:b/>
        </w:rPr>
        <w:t xml:space="preserve">Exclusions</w:t>
      </w:r>
    </w:p>
    <w:p>
      <w:pPr>
        <w:jc w:val="both"/>
        <w:spacing w:before="100" w:after="0"/>
        <w:ind w:start="360"/>
        <w:ind w:firstLine="360"/>
      </w:pPr>
      <w:r>
        <w:rPr>
          <w:b/>
        </w:rPr>
        <w:t>1</w:t>
        <w:t xml:space="preserve">.  </w:t>
      </w:r>
      <w:r>
        <w:rPr>
          <w:b/>
        </w:rPr>
        <w:t xml:space="preserve">Power of appointment.</w:t>
        <w:t xml:space="preserve"> </w:t>
      </w:r>
      <w:r>
        <w:t xml:space="preserve"> </w:t>
      </w:r>
      <w:r>
        <w:t xml:space="preserve">In this section, "power of appointment" means a power that enables a person acting in a nonfiduciary capacity to designate a recipient of an ownership interest in or another power of appointment over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w:t>
      </w:r>
    </w:p>
    <w:p>
      <w:pPr>
        <w:jc w:val="both"/>
        <w:spacing w:before="100" w:after="0"/>
        <w:ind w:start="720"/>
      </w:pPr>
      <w:r>
        <w:rPr/>
        <w:t>A</w:t>
        <w:t xml:space="preserve">.  </w:t>
      </w:r>
      <w:r>
        <w:rPr/>
      </w:r>
      <w:r>
        <w:t xml:space="preserve">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Power to appoint or remove a trustee or trust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Power of a settlor over a trust to the extent the settlor has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D</w:t>
        <w:t xml:space="preserve">.  </w:t>
      </w:r>
      <w:r>
        <w:rPr/>
      </w:r>
      <w:r>
        <w:t xml:space="preserve">Power of a beneficiary over a trust to the extent the exercise or nonexercise of the power affects the beneficial interest of:</w:t>
      </w:r>
    </w:p>
    <w:p>
      <w:pPr>
        <w:jc w:val="both"/>
        <w:spacing w:before="100" w:after="0"/>
        <w:ind w:start="1080"/>
      </w:pPr>
      <w:r>
        <w:rPr/>
        <w:t>(</w:t>
        <w:t>1</w:t>
        <w:t xml:space="preserve">)  </w:t>
      </w:r>
      <w:r>
        <w:rPr/>
      </w:r>
      <w:r>
        <w:t xml:space="preserve">The beneficiary; or</w:t>
      </w:r>
    </w:p>
    <w:p>
      <w:pPr>
        <w:jc w:val="both"/>
        <w:spacing w:before="100" w:after="0"/>
        <w:ind w:start="1080"/>
      </w:pPr>
      <w:r>
        <w:rPr/>
        <w:t>(</w:t>
        <w:t>2</w:t>
        <w:t xml:space="preserve">)  </w:t>
      </w:r>
      <w:r>
        <w:rPr/>
      </w:r>
      <w:r>
        <w:t xml:space="preserve">Another beneficiary represented by the beneficiary under the Maine Uniform Trust Code, </w:t>
      </w:r>
      <w:r>
        <w:t>sections 301</w:t>
      </w:r>
      <w:r>
        <w:t xml:space="preserve"> to </w:t>
      </w:r>
      <w:r>
        <w:t>305</w:t>
      </w:r>
      <w:r>
        <w:t xml:space="preserve"> with respect to the exercise or nonexercise of the power;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E</w:t>
        <w:t xml:space="preserve">.  </w:t>
      </w:r>
      <w:r>
        <w:rPr/>
      </w:r>
      <w:r>
        <w:t xml:space="preserve">Power over a trust if:</w:t>
      </w:r>
    </w:p>
    <w:p>
      <w:pPr>
        <w:jc w:val="both"/>
        <w:spacing w:before="100" w:after="0"/>
        <w:ind w:start="1080"/>
      </w:pPr>
      <w:r>
        <w:rPr/>
        <w:t>(</w:t>
        <w:t>1</w:t>
        <w:t xml:space="preserve">)  </w:t>
      </w:r>
      <w:r>
        <w:rPr/>
      </w:r>
      <w:r>
        <w:t xml:space="preserve">The terms of the trust provide that the power is held in a nonfiduciary capacity; and</w:t>
      </w:r>
    </w:p>
    <w:p>
      <w:pPr>
        <w:jc w:val="both"/>
        <w:spacing w:before="100" w:after="0"/>
        <w:ind w:start="1080"/>
      </w:pPr>
      <w:r>
        <w:rPr/>
        <w:t>(</w:t>
        <w:t>2</w:t>
        <w:t xml:space="preserve">)  </w:t>
      </w:r>
      <w:r>
        <w:rPr/>
      </w:r>
      <w:r>
        <w:t xml:space="preserve">The power must be held in a nonfiduciary capacity to achieve the settlor's tax objectives under the United States Internal Revenue Code of 1986 and amendments to that Code as of December 31, 2017.</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Power of direction.</w:t>
        <w:t xml:space="preserve"> </w:t>
      </w:r>
      <w:r>
        <w:t xml:space="preserve"> </w:t>
      </w:r>
      <w:r>
        <w:t xml:space="preserve">Unless the terms of a trust provide otherwise, a power granted to a person to designate a recipient of an ownership interest in or power of appointment over trust property that is exercisable while the person is not serving as a trustee is a power of appointment and not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2106</w:t>
        <w:t xml:space="preserve">.  </w:t>
      </w:r>
      <w:r>
        <w:rPr>
          <w:b/>
        </w:rPr>
        <w:t xml:space="preserve">Powers of trust director</w:t>
      </w:r>
    </w:p>
    <w:p>
      <w:pPr>
        <w:jc w:val="both"/>
        <w:spacing w:before="100" w:after="0"/>
        <w:ind w:start="360"/>
        <w:ind w:firstLine="360"/>
      </w:pPr>
      <w:r>
        <w:rPr>
          <w:b/>
        </w:rPr>
        <w:t>1</w:t>
        <w:t xml:space="preserve">.  </w:t>
      </w:r>
      <w:r>
        <w:rPr>
          <w:b/>
        </w:rPr>
        <w:t xml:space="preserve">Power of direction.</w:t>
        <w:t xml:space="preserve"> </w:t>
      </w:r>
      <w:r>
        <w:t xml:space="preserve"> </w:t>
      </w:r>
      <w:r>
        <w:t xml:space="preserve">Subject to </w:t>
      </w:r>
      <w:r>
        <w:t>section 2107</w:t>
      </w:r>
      <w:r>
        <w:t xml:space="preserve">, the terms of a trust may grant a power of direction to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Powers of 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may exercise any further power appropriate to the exercise or nonexercise of a power of direction granted to the director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Trust directors with joint powers shall act by majority decision.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2111</w:t>
        <w:t xml:space="preserve">.  </w:t>
      </w:r>
      <w:r>
        <w:rPr>
          <w:b/>
        </w:rPr>
        <w:t xml:space="preserve">No duty to monitor, inform or advise</w:t>
      </w:r>
    </w:p>
    <w:p>
      <w:pPr>
        <w:jc w:val="both"/>
        <w:spacing w:before="100" w:after="100"/>
        <w:ind w:start="360"/>
        <w:ind w:firstLine="360"/>
      </w:pPr>
      <w:r>
        <w:rPr>
          <w:b/>
        </w:rPr>
        <w:t>1</w:t>
        <w:t xml:space="preserve">.  </w:t>
      </w:r>
      <w:r>
        <w:rPr>
          <w:b/>
        </w:rPr>
        <w:t xml:space="preserve">Trustee.</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trustee does not have a duty to:</w:t>
      </w:r>
    </w:p>
    <w:p>
      <w:pPr>
        <w:jc w:val="both"/>
        <w:spacing w:before="100" w:after="0"/>
        <w:ind w:start="1080"/>
      </w:pPr>
      <w:r>
        <w:rPr/>
        <w:t>(</w:t>
        <w:t>1</w:t>
        <w:t xml:space="preserve">)  </w:t>
      </w:r>
      <w:r>
        <w:rPr/>
      </w:r>
      <w:r>
        <w:t xml:space="preserve">Monitor a trust director; or</w:t>
      </w:r>
    </w:p>
    <w:p>
      <w:pPr>
        <w:jc w:val="both"/>
        <w:spacing w:before="100" w:after="0"/>
        <w:ind w:start="1080"/>
      </w:pPr>
      <w:r>
        <w:rPr/>
        <w:t>(</w:t>
        <w:t>2</w:t>
        <w:t xml:space="preserve">)  </w:t>
      </w:r>
      <w:r>
        <w:rPr/>
      </w:r>
      <w:r>
        <w:t xml:space="preserve">Inform or give advice to a settlor, beneficiary, trustee or trust director concerning an instance in which the trustee might have acted differently than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trustee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w:t>
        <w:t xml:space="preserve"> </w:t>
      </w:r>
      <w:r>
        <w:t xml:space="preserve"> </w:t>
      </w:r>
      <w:r>
        <w:t xml:space="preserve">Unless the terms of a trust provide otherwise:</w:t>
      </w:r>
    </w:p>
    <w:p>
      <w:pPr>
        <w:jc w:val="both"/>
        <w:spacing w:before="100" w:after="0"/>
        <w:ind w:start="720"/>
      </w:pPr>
      <w:r>
        <w:rPr/>
        <w:t>A</w:t>
        <w:t xml:space="preserve">.  </w:t>
      </w:r>
      <w:r>
        <w:rPr/>
      </w:r>
      <w:r>
        <w:t xml:space="preserve">A trust director does not have a duty to:</w:t>
      </w:r>
    </w:p>
    <w:p>
      <w:pPr>
        <w:jc w:val="both"/>
        <w:spacing w:before="100" w:after="0"/>
        <w:ind w:start="1080"/>
      </w:pPr>
      <w:r>
        <w:rPr/>
        <w:t>(</w:t>
        <w:t>1</w:t>
        <w:t xml:space="preserve">)  </w:t>
      </w:r>
      <w:r>
        <w:rPr/>
      </w:r>
      <w:r>
        <w:t xml:space="preserve">Monitor a trustee or another trust director; or</w:t>
      </w:r>
    </w:p>
    <w:p>
      <w:pPr>
        <w:jc w:val="both"/>
        <w:spacing w:before="100" w:after="0"/>
        <w:ind w:start="1080"/>
      </w:pPr>
      <w:r>
        <w:rPr/>
        <w:t>(</w:t>
        <w:t>2</w:t>
        <w:t xml:space="preserve">)  </w:t>
      </w:r>
      <w:r>
        <w:rPr/>
      </w:r>
      <w:r>
        <w:t xml:space="preserve">Inform or give advice to a settlor, beneficiary, trustee or another trust director concerning an instance in which the director might have acted differently than a trustee or another trust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By taking an action described in </w:t>
      </w:r>
      <w:r>
        <w:t>paragraph A</w:t>
      </w:r>
      <w:r>
        <w:t xml:space="preserve">, a trust director does not assume the duty excluded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MAINE UNIFORM DIRECTED TRUST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UNIFORM DIRECTED TRUST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21. MAINE UNIFORM DIRECTED TRUST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