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Knowledge</w:t>
      </w:r>
    </w:p>
    <w:p>
      <w:pPr>
        <w:jc w:val="both"/>
        <w:spacing w:before="100" w:after="100"/>
        <w:ind w:start="360"/>
        <w:ind w:firstLine="360"/>
      </w:pPr>
      <w:r>
        <w:rPr>
          <w:b/>
        </w:rPr>
        <w:t>1</w:t>
        <w:t xml:space="preserve">.  </w:t>
      </w:r>
      <w:r>
        <w:rPr>
          <w:b/>
        </w:rPr>
        <w:t xml:space="preserve">Person.</w:t>
        <w:t xml:space="preserve"> </w:t>
      </w:r>
      <w:r>
        <w:t xml:space="preserve"> </w:t>
      </w:r>
      <w:r>
        <w:t xml:space="preserve">Subject to </w:t>
      </w:r>
      <w:r>
        <w:t>subsection 2</w:t>
      </w:r>
      <w:r>
        <w:t xml:space="preserve">, a person has knowledge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From all the facts and circumstances known to the person at the time in question, has reason to know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Organization.</w:t>
        <w:t xml:space="preserve"> </w:t>
      </w:r>
      <w:r>
        <w:t xml:space="preserve"> </w:t>
      </w:r>
      <w:r>
        <w:t xml:space="preserve">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§104.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