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Settlor</w:t>
      </w:r>
    </w:p>
    <w:p>
      <w:pPr>
        <w:jc w:val="both"/>
        <w:spacing w:before="100" w:after="0"/>
        <w:ind w:start="360"/>
        <w:ind w:firstLine="360"/>
      </w:pPr>
      <w:r>
        <w:rPr>
          <w:b/>
        </w:rPr>
        <w:t>1</w:t>
        <w:t xml:space="preserve">.  </w:t>
      </w:r>
      <w:r>
        <w:rPr>
          <w:b/>
        </w:rPr>
        <w:t xml:space="preserve">Settlor of first trust is settlor of 2nd trust.</w:t>
        <w:t xml:space="preserve"> </w:t>
      </w:r>
      <w:r>
        <w:t xml:space="preserve"> </w:t>
      </w:r>
      <w:r>
        <w:t xml:space="preserve">For purposes of the law of this State other than this Act and subject to </w:t>
      </w:r>
      <w:r>
        <w:t>subsection 2</w:t>
      </w:r>
      <w:r>
        <w:t xml:space="preserve">, a settlor of a first trust is deemed to be the settlor of the 2nd trust with respect to the portion of the principal of the first trust subject to the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Consideration of intent.</w:t>
        <w:t xml:space="preserve"> </w:t>
      </w:r>
      <w:r>
        <w:t xml:space="preserve"> </w:t>
      </w:r>
      <w:r>
        <w:t xml:space="preserve">In determining settlor intent with respect to a 2nd trust, the intent of a settlor of the first trust, a settlor of the 2nd trust and the authorized fiduciary may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§1224. Settlor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Settlor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§1224. SETTLOR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