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Subject matter jurisdiction</w:t>
      </w:r>
    </w:p>
    <w:p>
      <w:pPr>
        <w:jc w:val="both"/>
        <w:spacing w:before="100" w:after="0"/>
        <w:ind w:start="360"/>
        <w:ind w:firstLine="360"/>
      </w:pPr>
      <w:r>
        <w:rPr>
          <w:b/>
        </w:rPr>
        <w:t>1</w:t>
        <w:t xml:space="preserve">.  </w:t>
      </w:r>
      <w:r>
        <w:rPr>
          <w:b/>
        </w:rPr>
        <w:t xml:space="preserve">Concurrent jurisdiction.</w:t>
        <w:t xml:space="preserve"> </w:t>
      </w:r>
      <w:r>
        <w:t xml:space="preserve"> </w:t>
      </w:r>
      <w:r>
        <w:t xml:space="preserve">The Probate Court and the Superior Court have concurrent jurisdiction of all proceedings in this State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Alternative dispute resolution not precluded.</w:t>
        <w:t xml:space="preserve"> </w:t>
      </w:r>
      <w:r>
        <w:t xml:space="preserve"> </w:t>
      </w:r>
      <w:r>
        <w:t xml:space="preserve">This section does not preclude judicial or nonjudicial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Subject matter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Subject matter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§203. SUBJECT MATTER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