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Limitation of action against trust director</w:t>
      </w:r>
    </w:p>
    <w:p>
      <w:pPr>
        <w:jc w:val="both"/>
        <w:spacing w:before="100" w:after="0"/>
        <w:ind w:start="360"/>
        <w:ind w:firstLine="360"/>
      </w:pPr>
      <w:r>
        <w:rPr>
          <w:b/>
        </w:rPr>
        <w:t>1</w:t>
        <w:t xml:space="preserve">.  </w:t>
      </w:r>
      <w:r>
        <w:rPr>
          <w:b/>
        </w:rPr>
        <w:t xml:space="preserve">Action for breach of trust.</w:t>
        <w:t xml:space="preserve"> </w:t>
      </w:r>
      <w:r>
        <w:t xml:space="preserve"> </w:t>
      </w:r>
      <w:r>
        <w:t xml:space="preserve">An action against a trust director for breach of trust must be commenced within the same limitation period as in the Maine Uniform Trust Code, </w:t>
      </w:r>
      <w:r>
        <w:t>section 1005</w:t>
      </w:r>
      <w:r>
        <w:t xml:space="preserve"> for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Report or accounting.</w:t>
        <w:t xml:space="preserve"> </w:t>
      </w:r>
      <w:r>
        <w:t xml:space="preserve"> </w:t>
      </w:r>
      <w:r>
        <w:t xml:space="preserve">A report or accounting has the same effect on the limitation period for an action against a trust director for breach of trust that the report or accounting would have under the Maine Uniform Trust Code, </w:t>
      </w:r>
      <w:r>
        <w:t>section 1005</w:t>
      </w:r>
      <w:r>
        <w:t xml:space="preserve"> in an action for breach of trust against a trustee in a like position and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§2113. Limitation of action against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Limitation of action against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§2113. LIMITATION OF ACTION AGAINST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