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§414. MODIFICATION OR TERMINATION OF UNECONOMIC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