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Effect of fraud and evasion</w:t>
      </w:r>
    </w:p>
    <w:p>
      <w:pPr>
        <w:jc w:val="both"/>
        <w:spacing w:before="100" w:after="100"/>
        <w:ind w:start="360"/>
        <w:ind w:firstLine="360"/>
      </w:pPr>
      <w:r>
        <w:rPr/>
      </w:r>
      <w:r>
        <w:rPr/>
      </w:r>
      <w:r>
        <w:t xml:space="preserve">Whenever fraud has been perpetrated in connection with any proceeding or in any statement filed under this Code or if fraud is used to avoid or circumvent the provisions or purposes of this Code, any person injured by the fraud may obtain appropriate relief against the perpetrator of the fraud or restitution from any person, other than a bona fide purchaser, benefiting from the fraud, whether innocent or not.  A proceeding must be commenced within 2 years after the discovery of the fraud, but a proceeding may not be brought against a person who is not a perpetrator of the fraud later than 6 years after the time of commission of the fraud.  This section has no bearing on remedies relating to fraud practiced on a decedent during the decedent's lifetime that affects the succession of the decedent's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Effect of fraud and evasion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Effect of fraud and evasion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§1-105. EFFECT OF FRAUD AND EVASION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