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§1-306. NO JURY TRIAL;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