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shall collect a surcharge of $10 per petition, application or complaint, except for name changes, filed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Nonlapsing 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Use of account funds.</w:t>
        <w:t xml:space="preserve"> </w:t>
      </w:r>
      <w:r>
        <w:t xml:space="preserve"> </w:t>
      </w:r>
      <w:r>
        <w:t xml:space="preserve">The money in the account established in </w:t>
      </w:r>
      <w:r>
        <w:t>subsection 2</w:t>
      </w:r>
      <w:r>
        <w:t xml:space="preserve"> must be used for the restoration, storage and preservation of the records filed in the office of the register and in the court.  No withdrawals from this account may be made without the express written request or approval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surcharge.</w:t>
        <w:t xml:space="preserve"> </w:t>
      </w:r>
      <w:r>
        <w:t xml:space="preserve"> </w:t>
      </w:r>
      <w:r>
        <w:t xml:space="preserve">The judge may waive the surcharge in </w:t>
      </w:r>
      <w:r>
        <w:t>subsection 1</w:t>
      </w:r>
      <w:r>
        <w:t xml:space="preserve"> if the judge believes that it will prove a hardship for the individual filing the petition, application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§1-607. SURCHARGE FOR RESTORATION, STORAGE AND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